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4B03" w14:textId="36322A04" w:rsidR="00770120" w:rsidRPr="002B19EF" w:rsidRDefault="00D55972" w:rsidP="00770120">
      <w:pPr>
        <w:pStyle w:val="Naslov"/>
        <w:jc w:val="center"/>
        <w:rPr>
          <w:rFonts w:ascii="Calibri" w:hAnsi="Calibri" w:cs="Calibri"/>
          <w:sz w:val="36"/>
          <w:szCs w:val="36"/>
          <w:lang w:val="sl-SI"/>
        </w:rPr>
      </w:pPr>
      <w:r w:rsidRPr="002B19EF">
        <w:rPr>
          <w:rFonts w:ascii="Calibri" w:hAnsi="Calibri" w:cs="Calibri"/>
          <w:sz w:val="36"/>
          <w:szCs w:val="36"/>
          <w:lang w:val="sl-SI"/>
        </w:rPr>
        <w:t>Sloven</w:t>
      </w:r>
      <w:r w:rsidR="00446FF3" w:rsidRPr="002B19EF">
        <w:rPr>
          <w:rFonts w:ascii="Calibri" w:hAnsi="Calibri" w:cs="Calibri"/>
          <w:sz w:val="36"/>
          <w:szCs w:val="36"/>
          <w:lang w:val="sl-SI"/>
        </w:rPr>
        <w:t>ski gradbeni se</w:t>
      </w:r>
      <w:r w:rsidR="002B19EF">
        <w:rPr>
          <w:rFonts w:ascii="Calibri" w:hAnsi="Calibri" w:cs="Calibri"/>
          <w:sz w:val="36"/>
          <w:szCs w:val="36"/>
          <w:lang w:val="sl-SI"/>
        </w:rPr>
        <w:t>k</w:t>
      </w:r>
      <w:r w:rsidR="00446FF3" w:rsidRPr="002B19EF">
        <w:rPr>
          <w:rFonts w:ascii="Calibri" w:hAnsi="Calibri" w:cs="Calibri"/>
          <w:sz w:val="36"/>
          <w:szCs w:val="36"/>
          <w:lang w:val="sl-SI"/>
        </w:rPr>
        <w:t xml:space="preserve">tor </w:t>
      </w:r>
      <w:r w:rsidR="00A43532">
        <w:rPr>
          <w:rFonts w:ascii="Calibri" w:hAnsi="Calibri" w:cs="Calibri"/>
          <w:sz w:val="36"/>
          <w:szCs w:val="36"/>
          <w:lang w:val="sl-SI"/>
        </w:rPr>
        <w:t>opozarja na problem pomanjkanja usposobljenega kadra</w:t>
      </w:r>
      <w:r w:rsidRPr="002B19EF">
        <w:rPr>
          <w:rFonts w:ascii="Calibri" w:hAnsi="Calibri" w:cs="Calibri"/>
          <w:sz w:val="36"/>
          <w:szCs w:val="36"/>
          <w:lang w:val="sl-SI"/>
        </w:rPr>
        <w:t xml:space="preserve"> </w:t>
      </w:r>
    </w:p>
    <w:p w14:paraId="043EA11F" w14:textId="77777777" w:rsidR="00446FF3" w:rsidRPr="002B19EF" w:rsidRDefault="00446FF3" w:rsidP="00446FF3">
      <w:pPr>
        <w:rPr>
          <w:lang w:val="sl-SI"/>
        </w:rPr>
      </w:pPr>
    </w:p>
    <w:p w14:paraId="030D86FD" w14:textId="3CE3658C" w:rsidR="00770120" w:rsidRPr="002B19EF" w:rsidRDefault="00FC3DD1" w:rsidP="00FC3DD1">
      <w:pPr>
        <w:rPr>
          <w:rFonts w:ascii="Calibri" w:hAnsi="Calibri" w:cs="Calibri"/>
          <w:sz w:val="20"/>
          <w:szCs w:val="20"/>
          <w:lang w:val="sl-SI"/>
        </w:rPr>
      </w:pPr>
      <w:r w:rsidRPr="002B19EF">
        <w:rPr>
          <w:rFonts w:ascii="Calibri" w:hAnsi="Calibri" w:cs="Calibri"/>
          <w:sz w:val="20"/>
          <w:szCs w:val="20"/>
          <w:lang w:val="sl-SI"/>
        </w:rPr>
        <w:t xml:space="preserve">Kot je prikazano v nedavno objavljenem </w:t>
      </w:r>
      <w:hyperlink r:id="rId6" w:history="1">
        <w:r w:rsidRPr="002B19EF">
          <w:rPr>
            <w:rStyle w:val="Hiperpovezava"/>
            <w:rFonts w:ascii="Calibri" w:hAnsi="Calibri" w:cs="Calibri"/>
            <w:i/>
            <w:iCs/>
            <w:sz w:val="20"/>
            <w:szCs w:val="20"/>
            <w:lang w:val="sl-SI"/>
          </w:rPr>
          <w:t>European Construction Sector Observatory</w:t>
        </w:r>
      </w:hyperlink>
      <w:r w:rsidRPr="002B19EF">
        <w:rPr>
          <w:rFonts w:ascii="Calibri" w:hAnsi="Calibri" w:cs="Calibri"/>
          <w:i/>
          <w:iCs/>
          <w:sz w:val="20"/>
          <w:szCs w:val="20"/>
          <w:lang w:val="sl-SI"/>
        </w:rPr>
        <w:t xml:space="preserve"> (ECSO) </w:t>
      </w:r>
      <w:hyperlink r:id="rId7" w:history="1">
        <w:r w:rsidRPr="00F35A8F">
          <w:rPr>
            <w:rStyle w:val="Hiperpovezava"/>
            <w:rFonts w:ascii="Calibri" w:hAnsi="Calibri" w:cs="Calibri"/>
            <w:i/>
            <w:iCs/>
            <w:sz w:val="20"/>
            <w:szCs w:val="20"/>
            <w:lang w:val="sl-SI"/>
          </w:rPr>
          <w:t>Country Fact Sheet</w:t>
        </w:r>
      </w:hyperlink>
      <w:r w:rsidR="00446FF3" w:rsidRPr="002B19EF">
        <w:rPr>
          <w:rFonts w:ascii="Calibri" w:hAnsi="Calibri" w:cs="Calibri"/>
          <w:i/>
          <w:iCs/>
          <w:sz w:val="20"/>
          <w:szCs w:val="20"/>
          <w:lang w:val="sl-SI"/>
        </w:rPr>
        <w:t xml:space="preserve">, 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446FF3" w:rsidRPr="002B19EF">
        <w:rPr>
          <w:rFonts w:ascii="Calibri" w:hAnsi="Calibri" w:cs="Calibri"/>
          <w:sz w:val="20"/>
          <w:szCs w:val="20"/>
          <w:lang w:val="sl-SI"/>
        </w:rPr>
        <w:t xml:space="preserve">je </w:t>
      </w:r>
      <w:r w:rsidRPr="002B19EF">
        <w:rPr>
          <w:rFonts w:ascii="Calibri" w:hAnsi="Calibri" w:cs="Calibri"/>
          <w:sz w:val="20"/>
          <w:szCs w:val="20"/>
          <w:lang w:val="sl-SI"/>
        </w:rPr>
        <w:t>število prostih delovnih mest v gradbenem sektorju v Sloveniji v letu 2019</w:t>
      </w:r>
      <w:r w:rsidR="002B19EF">
        <w:rPr>
          <w:rFonts w:ascii="Calibri" w:hAnsi="Calibri" w:cs="Calibri"/>
          <w:sz w:val="20"/>
          <w:szCs w:val="20"/>
          <w:lang w:val="sl-SI"/>
        </w:rPr>
        <w:t>,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v primerjavi z letom 2010</w:t>
      </w:r>
      <w:r w:rsidR="002B19EF">
        <w:rPr>
          <w:rFonts w:ascii="Calibri" w:hAnsi="Calibri" w:cs="Calibri"/>
          <w:sz w:val="20"/>
          <w:szCs w:val="20"/>
          <w:lang w:val="sl-SI"/>
        </w:rPr>
        <w:t>,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zabeležilo impresivno 413,1% rast. Poleg tega se je </w:t>
      </w:r>
      <w:r w:rsidR="00446FF3" w:rsidRPr="002B19EF">
        <w:rPr>
          <w:rFonts w:ascii="Calibri" w:hAnsi="Calibri" w:cs="Calibri"/>
          <w:sz w:val="20"/>
          <w:szCs w:val="20"/>
          <w:lang w:val="sl-SI"/>
        </w:rPr>
        <w:t>delež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prostih delovnih mest v Sloveniji povečal z 1,1% v letu 2010 na 6,2% v letu 2019, kar kaže na narašč</w:t>
      </w:r>
      <w:bookmarkStart w:id="0" w:name="_GoBack"/>
      <w:bookmarkEnd w:id="0"/>
      <w:r w:rsidRPr="002B19EF">
        <w:rPr>
          <w:rFonts w:ascii="Calibri" w:hAnsi="Calibri" w:cs="Calibri"/>
          <w:sz w:val="20"/>
          <w:szCs w:val="20"/>
          <w:lang w:val="sl-SI"/>
        </w:rPr>
        <w:t xml:space="preserve">ajoče povpraševanje po gradbenih strokovnjakih, ki </w:t>
      </w:r>
      <w:r w:rsidR="002B19EF">
        <w:rPr>
          <w:rFonts w:ascii="Calibri" w:hAnsi="Calibri" w:cs="Calibri"/>
          <w:sz w:val="20"/>
          <w:szCs w:val="20"/>
          <w:lang w:val="sl-SI"/>
        </w:rPr>
        <w:t>jih trenutno primanjkuje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. Kljub veliki razpoložljivosti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delovnih mest</w:t>
      </w:r>
      <w:r w:rsidR="002B19EF">
        <w:rPr>
          <w:rFonts w:ascii="Calibri" w:hAnsi="Calibri" w:cs="Calibri"/>
          <w:sz w:val="20"/>
          <w:szCs w:val="20"/>
          <w:lang w:val="sl-SI"/>
        </w:rPr>
        <w:t>,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se slovensko gospodarstvo, vključno z gradbenim sektorjem, še naprej sooča s stalnim pomanjkanjem delovne sile.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Kar do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</w:t>
      </w:r>
      <w:hyperlink r:id="rId8" w:history="1">
        <w:r w:rsidRPr="002B19EF">
          <w:rPr>
            <w:rStyle w:val="Hiperpovezava"/>
            <w:rFonts w:ascii="Calibri" w:hAnsi="Calibri" w:cs="Calibri"/>
            <w:sz w:val="20"/>
            <w:szCs w:val="20"/>
            <w:lang w:val="sl-SI"/>
          </w:rPr>
          <w:t>40,1% delodajalcev v gradbenem sektorju</w:t>
        </w:r>
      </w:hyperlink>
      <w:r w:rsidRPr="002B19EF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 xml:space="preserve">je v letu 2019 </w:t>
      </w:r>
      <w:r w:rsidRPr="002B19EF">
        <w:rPr>
          <w:rFonts w:ascii="Calibri" w:hAnsi="Calibri" w:cs="Calibri"/>
          <w:sz w:val="20"/>
          <w:szCs w:val="20"/>
          <w:lang w:val="sl-SI"/>
        </w:rPr>
        <w:t>poročalo o pomanjkanju delovne sile.</w:t>
      </w:r>
    </w:p>
    <w:p w14:paraId="4CB8A8EE" w14:textId="3BEC59CE" w:rsidR="00407DD7" w:rsidRPr="002B19EF" w:rsidRDefault="00FC3DD1" w:rsidP="00FC3DD1">
      <w:pPr>
        <w:rPr>
          <w:rFonts w:ascii="Calibri" w:hAnsi="Calibri" w:cs="Calibri"/>
          <w:sz w:val="20"/>
          <w:szCs w:val="20"/>
          <w:lang w:val="sl-SI"/>
        </w:rPr>
      </w:pPr>
      <w:r w:rsidRPr="002B19EF">
        <w:rPr>
          <w:rFonts w:ascii="Calibri" w:hAnsi="Calibri" w:cs="Calibri"/>
          <w:sz w:val="20"/>
          <w:szCs w:val="20"/>
          <w:lang w:val="sl-SI"/>
        </w:rPr>
        <w:t xml:space="preserve">Po mnenju Gospodarske zbornice Slovenije v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ožjem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gradbenem podsektorju primanjkuje usposobljene delovne sile tudi zaradi i) nizkih plač, ki zmanjšujejo privlačnost sektorja za mlade in kvalificirane delavce; in ii) majhn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ega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števil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a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diplomantov, ki končajo izobrazbo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 xml:space="preserve"> povezano z gradbeništvom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, kar zmanjšuje število potencialnih kvalificiranih delavcev. Zaradi tega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 xml:space="preserve">predstavlja 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razpoložljivost usposobljenega osebja </w:t>
      </w:r>
      <w:hyperlink r:id="rId9" w:history="1">
        <w:r w:rsidRPr="002B19EF">
          <w:rPr>
            <w:rStyle w:val="Hiperpovezava"/>
            <w:rFonts w:ascii="Calibri" w:hAnsi="Calibri" w:cs="Calibri"/>
            <w:sz w:val="20"/>
            <w:szCs w:val="20"/>
            <w:lang w:val="sl-SI"/>
          </w:rPr>
          <w:t>oviro za naložbe 78% podjet</w:t>
        </w:r>
        <w:r w:rsidR="00C34CF2" w:rsidRPr="002B19EF">
          <w:rPr>
            <w:rStyle w:val="Hiperpovezava"/>
            <w:rFonts w:ascii="Calibri" w:hAnsi="Calibri" w:cs="Calibri"/>
            <w:sz w:val="20"/>
            <w:szCs w:val="20"/>
            <w:lang w:val="sl-SI"/>
          </w:rPr>
          <w:t>jem</w:t>
        </w:r>
      </w:hyperlink>
      <w:r w:rsidRPr="002B19EF">
        <w:rPr>
          <w:rFonts w:ascii="Calibri" w:hAnsi="Calibri" w:cs="Calibri"/>
          <w:sz w:val="20"/>
          <w:szCs w:val="20"/>
          <w:lang w:val="sl-SI"/>
        </w:rPr>
        <w:t xml:space="preserve"> v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širšem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gradbenem sektorju.</w:t>
      </w:r>
    </w:p>
    <w:p w14:paraId="5CC31A39" w14:textId="1582592C" w:rsidR="00FC3DD1" w:rsidRPr="002B19EF" w:rsidRDefault="00FC3DD1" w:rsidP="00FC3DD1">
      <w:pPr>
        <w:rPr>
          <w:rFonts w:ascii="Calibri" w:hAnsi="Calibri" w:cs="Calibri"/>
          <w:sz w:val="20"/>
          <w:szCs w:val="20"/>
          <w:lang w:val="sl-SI"/>
        </w:rPr>
      </w:pPr>
      <w:r w:rsidRPr="002B19EF">
        <w:rPr>
          <w:rFonts w:ascii="Calibri" w:hAnsi="Calibri" w:cs="Calibri"/>
          <w:sz w:val="20"/>
          <w:szCs w:val="20"/>
          <w:lang w:val="sl-SI"/>
        </w:rPr>
        <w:t xml:space="preserve">Za reševanje teh izzivov je bil januarja 2018 sprejet </w:t>
      </w:r>
      <w:hyperlink r:id="rId10" w:history="1">
        <w:r w:rsidRPr="002B19EF">
          <w:rPr>
            <w:rStyle w:val="Hiperpovezava"/>
            <w:rFonts w:ascii="Calibri" w:hAnsi="Calibri" w:cs="Calibri"/>
            <w:sz w:val="20"/>
            <w:szCs w:val="20"/>
            <w:lang w:val="sl-SI"/>
          </w:rPr>
          <w:t>Zakon o izobraževanju odraslih</w:t>
        </w:r>
      </w:hyperlink>
      <w:r w:rsidRPr="002B19EF">
        <w:rPr>
          <w:rFonts w:ascii="Calibri" w:hAnsi="Calibri" w:cs="Calibri"/>
          <w:sz w:val="20"/>
          <w:szCs w:val="20"/>
          <w:lang w:val="sl-SI"/>
        </w:rPr>
        <w:t xml:space="preserve">. Zakon zagotavlja storitve, kot so svetovanje, mentorstvo, usposabljanje za </w:t>
      </w:r>
      <w:r w:rsidR="002B19EF">
        <w:rPr>
          <w:rFonts w:ascii="Calibri" w:hAnsi="Calibri" w:cs="Calibri"/>
          <w:sz w:val="20"/>
          <w:szCs w:val="20"/>
          <w:lang w:val="sl-SI"/>
        </w:rPr>
        <w:t>izobraževalce</w:t>
      </w:r>
      <w:r w:rsidRPr="002B19EF">
        <w:rPr>
          <w:rFonts w:ascii="Calibri" w:hAnsi="Calibri" w:cs="Calibri"/>
          <w:sz w:val="20"/>
          <w:szCs w:val="20"/>
          <w:lang w:val="sl-SI"/>
        </w:rPr>
        <w:t>, osnovn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o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šol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o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za odrasle in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 xml:space="preserve">karierno 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svetovanje. Slovenija uvaja tudi </w:t>
      </w:r>
      <w:hyperlink r:id="rId11" w:history="1">
        <w:r w:rsidRPr="002B19EF">
          <w:rPr>
            <w:rStyle w:val="Hiperpovezava"/>
            <w:rFonts w:ascii="Calibri" w:hAnsi="Calibri" w:cs="Calibri"/>
            <w:sz w:val="20"/>
            <w:szCs w:val="20"/>
            <w:lang w:val="sl-SI"/>
          </w:rPr>
          <w:t>vajeniški sistem</w:t>
        </w:r>
      </w:hyperlink>
      <w:r w:rsidRPr="002B19EF">
        <w:rPr>
          <w:rFonts w:ascii="Calibri" w:hAnsi="Calibri" w:cs="Calibri"/>
          <w:sz w:val="20"/>
          <w:szCs w:val="20"/>
          <w:lang w:val="sl-SI"/>
        </w:rPr>
        <w:t xml:space="preserve"> za boljše prilagajanje poklicnega izobraževanja potrebam trga dela in izboljšanje udeležbe lokalnih podjetij.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N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ovi sistem bo do leta 2021 upravičen do financiranja v višini 2,7 milijona EUR, od tega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 xml:space="preserve">bo </w:t>
      </w:r>
      <w:r w:rsidRPr="002B19EF">
        <w:rPr>
          <w:rFonts w:ascii="Calibri" w:hAnsi="Calibri" w:cs="Calibri"/>
          <w:sz w:val="20"/>
          <w:szCs w:val="20"/>
          <w:lang w:val="sl-SI"/>
        </w:rPr>
        <w:t>2,1 milijona EUR iz sredstev EU. V ta namen se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 xml:space="preserve"> v sodelovanju z delodajalci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za izvajanje praktičnega usposabljanja z delom </w:t>
      </w:r>
      <w:r w:rsidR="002B19EF">
        <w:rPr>
          <w:rFonts w:ascii="Calibri" w:hAnsi="Calibri" w:cs="Calibri"/>
          <w:sz w:val="20"/>
          <w:szCs w:val="20"/>
          <w:lang w:val="sl-SI"/>
        </w:rPr>
        <w:t>namenja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dodatnih 28,4 milijona EUR (od tega 22,7 milijona EUR iz sredstev EU). Do danes je bila </w:t>
      </w:r>
      <w:hyperlink r:id="rId12" w:history="1">
        <w:r w:rsidRPr="002B19EF">
          <w:rPr>
            <w:rStyle w:val="Hiperpovezava"/>
            <w:rFonts w:ascii="Calibri" w:hAnsi="Calibri" w:cs="Calibri"/>
            <w:sz w:val="20"/>
            <w:szCs w:val="20"/>
            <w:lang w:val="sl-SI"/>
          </w:rPr>
          <w:t>večina podjetij in vajencev pilotne faze zadovoljnih s sistemom vajeništva</w:t>
        </w:r>
      </w:hyperlink>
      <w:r w:rsidRPr="002B19EF">
        <w:rPr>
          <w:rFonts w:ascii="Calibri" w:hAnsi="Calibri" w:cs="Calibri"/>
          <w:sz w:val="20"/>
          <w:szCs w:val="20"/>
          <w:lang w:val="sl-SI"/>
        </w:rPr>
        <w:t>.</w:t>
      </w:r>
    </w:p>
    <w:p w14:paraId="70F2EA64" w14:textId="4545B722" w:rsidR="00FC3DD1" w:rsidRPr="002B19EF" w:rsidRDefault="00FC3DD1" w:rsidP="00FC3DD1">
      <w:pPr>
        <w:rPr>
          <w:rFonts w:ascii="Calibri" w:hAnsi="Calibri" w:cs="Calibri"/>
          <w:sz w:val="20"/>
          <w:szCs w:val="20"/>
          <w:lang w:val="sl-SI"/>
        </w:rPr>
      </w:pPr>
      <w:r w:rsidRPr="002B19EF">
        <w:rPr>
          <w:rFonts w:ascii="Calibri" w:hAnsi="Calibri" w:cs="Calibri"/>
          <w:sz w:val="20"/>
          <w:szCs w:val="20"/>
          <w:lang w:val="sl-SI"/>
        </w:rPr>
        <w:t xml:space="preserve">Tudi Slovenska inženirska zbornica ima aktivno vlogo pri zagotavljanju vseživljenjskega izobraževanja prek svoje </w:t>
      </w:r>
      <w:hyperlink r:id="rId13" w:history="1">
        <w:r w:rsidRPr="002B19EF">
          <w:rPr>
            <w:rStyle w:val="Hiperpovezava"/>
            <w:rFonts w:ascii="Calibri" w:hAnsi="Calibri" w:cs="Calibri"/>
            <w:sz w:val="20"/>
            <w:szCs w:val="20"/>
            <w:lang w:val="sl-SI"/>
          </w:rPr>
          <w:t>Akademije za usposabljanje</w:t>
        </w:r>
      </w:hyperlink>
      <w:r w:rsidRPr="002B19EF">
        <w:rPr>
          <w:rFonts w:ascii="Calibri" w:hAnsi="Calibri" w:cs="Calibri"/>
          <w:sz w:val="20"/>
          <w:szCs w:val="20"/>
          <w:lang w:val="sl-SI"/>
        </w:rPr>
        <w:t xml:space="preserve">. Zbornica organizira delavnice, seminarje, konference in simpozije o različnih temah, od požarne varnosti do evrokodov.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Pri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usposabljanj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u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>z</w:t>
      </w:r>
      <w:r w:rsidRPr="002B19EF">
        <w:rPr>
          <w:rFonts w:ascii="Calibri" w:hAnsi="Calibri" w:cs="Calibri"/>
          <w:sz w:val="20"/>
          <w:szCs w:val="20"/>
          <w:lang w:val="sl-SI"/>
        </w:rPr>
        <w:t>bornica pokriva teme, kot so skoraj</w:t>
      </w:r>
      <w:r w:rsidR="00C34CF2" w:rsidRPr="002B19EF">
        <w:rPr>
          <w:rFonts w:ascii="Calibri" w:hAnsi="Calibri" w:cs="Calibri"/>
          <w:sz w:val="20"/>
          <w:szCs w:val="20"/>
          <w:lang w:val="sl-SI"/>
        </w:rPr>
        <w:t xml:space="preserve"> 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nič-energijske stavbe, energetsko učinkovite stavbe, načrtovanje in namestitev ogrevalnih sistemov, </w:t>
      </w:r>
      <w:r w:rsidR="002B19EF" w:rsidRPr="002B19EF">
        <w:rPr>
          <w:rFonts w:ascii="Calibri" w:hAnsi="Calibri" w:cs="Calibri"/>
          <w:sz w:val="20"/>
          <w:szCs w:val="20"/>
          <w:lang w:val="sl-SI"/>
        </w:rPr>
        <w:t xml:space="preserve">kot 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tudi pravne in pogodbene vidike. Poleg tega </w:t>
      </w:r>
      <w:r w:rsidR="002B19EF" w:rsidRPr="002B19EF">
        <w:rPr>
          <w:rFonts w:ascii="Calibri" w:hAnsi="Calibri" w:cs="Calibri"/>
          <w:sz w:val="20"/>
          <w:szCs w:val="20"/>
          <w:lang w:val="sl-SI"/>
        </w:rPr>
        <w:t>z</w:t>
      </w:r>
      <w:r w:rsidRPr="002B19EF">
        <w:rPr>
          <w:rFonts w:ascii="Calibri" w:hAnsi="Calibri" w:cs="Calibri"/>
          <w:sz w:val="20"/>
          <w:szCs w:val="20"/>
          <w:lang w:val="sl-SI"/>
        </w:rPr>
        <w:t>bornica upravlja portal, ki podjetjem</w:t>
      </w:r>
      <w:r w:rsidR="002B19EF">
        <w:rPr>
          <w:rFonts w:ascii="Calibri" w:hAnsi="Calibri" w:cs="Calibri"/>
          <w:sz w:val="20"/>
          <w:szCs w:val="20"/>
          <w:lang w:val="sl-SI"/>
        </w:rPr>
        <w:t xml:space="preserve"> članicam</w:t>
      </w:r>
      <w:r w:rsidR="002B19EF" w:rsidRPr="002B19EF">
        <w:rPr>
          <w:rFonts w:ascii="Calibri" w:hAnsi="Calibri" w:cs="Calibri"/>
          <w:sz w:val="20"/>
          <w:szCs w:val="20"/>
          <w:lang w:val="sl-SI"/>
        </w:rPr>
        <w:t xml:space="preserve"> </w:t>
      </w:r>
      <w:r w:rsidRPr="002B19EF">
        <w:rPr>
          <w:rFonts w:ascii="Calibri" w:hAnsi="Calibri" w:cs="Calibri"/>
          <w:sz w:val="20"/>
          <w:szCs w:val="20"/>
          <w:lang w:val="sl-SI"/>
        </w:rPr>
        <w:t>omogoča objavo prostih delovnih mest in olajšanje povezovanja iskalcev zaposlitve z delodajalci.</w:t>
      </w:r>
    </w:p>
    <w:p w14:paraId="400FB6D6" w14:textId="69FCEEB2" w:rsidR="00FC3DD1" w:rsidRPr="002B19EF" w:rsidRDefault="00FC3DD1" w:rsidP="00FC3DD1">
      <w:pPr>
        <w:rPr>
          <w:rFonts w:ascii="Calibri" w:hAnsi="Calibri" w:cs="Calibri"/>
          <w:sz w:val="20"/>
          <w:szCs w:val="20"/>
          <w:lang w:val="sl-SI"/>
        </w:rPr>
      </w:pPr>
      <w:r w:rsidRPr="002B19EF">
        <w:rPr>
          <w:rFonts w:ascii="Calibri" w:hAnsi="Calibri" w:cs="Calibri"/>
          <w:sz w:val="20"/>
          <w:szCs w:val="20"/>
          <w:lang w:val="sl-SI"/>
        </w:rPr>
        <w:t xml:space="preserve">Ne glede na </w:t>
      </w:r>
      <w:r w:rsidR="002B19EF">
        <w:rPr>
          <w:rFonts w:ascii="Calibri" w:hAnsi="Calibri" w:cs="Calibri"/>
          <w:sz w:val="20"/>
          <w:szCs w:val="20"/>
          <w:lang w:val="sl-SI"/>
        </w:rPr>
        <w:t>morebiten korak nazaj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, ki </w:t>
      </w:r>
      <w:r w:rsidR="002B19EF">
        <w:rPr>
          <w:rFonts w:ascii="Calibri" w:hAnsi="Calibri" w:cs="Calibri"/>
          <w:sz w:val="20"/>
          <w:szCs w:val="20"/>
          <w:lang w:val="sl-SI"/>
        </w:rPr>
        <w:t>ga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 je povzročila kriza COVID-19, slovenski gradbeni sektor predstavlja pomemb</w:t>
      </w:r>
      <w:r w:rsidR="002B19EF">
        <w:rPr>
          <w:rFonts w:ascii="Calibri" w:hAnsi="Calibri" w:cs="Calibri"/>
          <w:sz w:val="20"/>
          <w:szCs w:val="20"/>
          <w:lang w:val="sl-SI"/>
        </w:rPr>
        <w:t xml:space="preserve">en delež </w:t>
      </w:r>
      <w:r w:rsidRPr="002B19EF">
        <w:rPr>
          <w:rFonts w:ascii="Calibri" w:hAnsi="Calibri" w:cs="Calibri"/>
          <w:sz w:val="20"/>
          <w:szCs w:val="20"/>
          <w:lang w:val="sl-SI"/>
        </w:rPr>
        <w:t xml:space="preserve">neizkoriščenega potenciala. Trendi digitalizacije in trajnosti bodo zahtevali vedno več usposobljene delovne sile, kar je trenutno pomembno ozko grlo v državi. Vendar je vlada to težavo </w:t>
      </w:r>
      <w:r w:rsidR="002B19EF">
        <w:rPr>
          <w:rFonts w:ascii="Calibri" w:hAnsi="Calibri" w:cs="Calibri"/>
          <w:sz w:val="20"/>
          <w:szCs w:val="20"/>
          <w:lang w:val="sl-SI"/>
        </w:rPr>
        <w:t xml:space="preserve">že </w:t>
      </w:r>
      <w:r w:rsidRPr="002B19EF">
        <w:rPr>
          <w:rFonts w:ascii="Calibri" w:hAnsi="Calibri" w:cs="Calibri"/>
          <w:sz w:val="20"/>
          <w:szCs w:val="20"/>
          <w:lang w:val="sl-SI"/>
        </w:rPr>
        <w:t>prepoznala in sprejela več pobud za njeno reševanje. V prihodnje se bo izkazalo, da je zagotavljanje ustrezne oskrbe s kvalificiranimi delavci ključnega pomena za rast in konkurenčnost sektorja.</w:t>
      </w:r>
    </w:p>
    <w:sectPr w:rsidR="00FC3DD1" w:rsidRPr="002B19E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1145" w14:textId="77777777" w:rsidR="00ED4AE8" w:rsidRDefault="00ED4AE8" w:rsidP="00770120">
      <w:pPr>
        <w:spacing w:after="0" w:line="240" w:lineRule="auto"/>
      </w:pPr>
      <w:r>
        <w:separator/>
      </w:r>
    </w:p>
  </w:endnote>
  <w:endnote w:type="continuationSeparator" w:id="0">
    <w:p w14:paraId="1D14B0BF" w14:textId="77777777" w:rsidR="00ED4AE8" w:rsidRDefault="00ED4AE8" w:rsidP="0077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243A" w14:textId="77777777" w:rsidR="00ED4AE8" w:rsidRDefault="00ED4AE8" w:rsidP="00770120">
      <w:pPr>
        <w:spacing w:after="0" w:line="240" w:lineRule="auto"/>
      </w:pPr>
      <w:r>
        <w:separator/>
      </w:r>
    </w:p>
  </w:footnote>
  <w:footnote w:type="continuationSeparator" w:id="0">
    <w:p w14:paraId="5EB09782" w14:textId="77777777" w:rsidR="00ED4AE8" w:rsidRDefault="00ED4AE8" w:rsidP="0077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4184" w14:textId="77777777" w:rsidR="00770120" w:rsidRDefault="00770120">
    <w:pPr>
      <w:pStyle w:val="Glava"/>
    </w:pPr>
    <w:r>
      <w:rPr>
        <w:noProof/>
        <w:lang w:val="sl-SI" w:eastAsia="sl-SI"/>
      </w:rPr>
      <w:drawing>
        <wp:inline distT="0" distB="0" distL="0" distR="0" wp14:anchorId="596AE9CF" wp14:editId="7598877B">
          <wp:extent cx="5731510" cy="17018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47825"/>
    <w:rsid w:val="00041C6F"/>
    <w:rsid w:val="00044874"/>
    <w:rsid w:val="000656FD"/>
    <w:rsid w:val="000760B8"/>
    <w:rsid w:val="00091878"/>
    <w:rsid w:val="000A1683"/>
    <w:rsid w:val="000D2437"/>
    <w:rsid w:val="000F5408"/>
    <w:rsid w:val="000F6301"/>
    <w:rsid w:val="00102F96"/>
    <w:rsid w:val="00115CD0"/>
    <w:rsid w:val="00147D27"/>
    <w:rsid w:val="00154A83"/>
    <w:rsid w:val="00155514"/>
    <w:rsid w:val="00155D50"/>
    <w:rsid w:val="001574F3"/>
    <w:rsid w:val="001649E3"/>
    <w:rsid w:val="001768B0"/>
    <w:rsid w:val="00183ECC"/>
    <w:rsid w:val="00186395"/>
    <w:rsid w:val="001E101C"/>
    <w:rsid w:val="00207BFB"/>
    <w:rsid w:val="0026374B"/>
    <w:rsid w:val="00282AEB"/>
    <w:rsid w:val="002B19EF"/>
    <w:rsid w:val="002B2114"/>
    <w:rsid w:val="002F3E2A"/>
    <w:rsid w:val="002F3FAB"/>
    <w:rsid w:val="00320626"/>
    <w:rsid w:val="00344C2A"/>
    <w:rsid w:val="00385C88"/>
    <w:rsid w:val="003B2D8A"/>
    <w:rsid w:val="003F07B6"/>
    <w:rsid w:val="003F382E"/>
    <w:rsid w:val="00402B28"/>
    <w:rsid w:val="00407DD7"/>
    <w:rsid w:val="00431E5F"/>
    <w:rsid w:val="00446FF3"/>
    <w:rsid w:val="004837B6"/>
    <w:rsid w:val="004858EA"/>
    <w:rsid w:val="00496773"/>
    <w:rsid w:val="004C1FD9"/>
    <w:rsid w:val="004E4EF8"/>
    <w:rsid w:val="004F1DBC"/>
    <w:rsid w:val="00516404"/>
    <w:rsid w:val="00547825"/>
    <w:rsid w:val="005954E6"/>
    <w:rsid w:val="005A1CDA"/>
    <w:rsid w:val="005B689B"/>
    <w:rsid w:val="005E750E"/>
    <w:rsid w:val="00620668"/>
    <w:rsid w:val="006367A3"/>
    <w:rsid w:val="00750FB2"/>
    <w:rsid w:val="00770120"/>
    <w:rsid w:val="0077449B"/>
    <w:rsid w:val="007A5916"/>
    <w:rsid w:val="007C3262"/>
    <w:rsid w:val="007C549E"/>
    <w:rsid w:val="007C6F77"/>
    <w:rsid w:val="00810C5E"/>
    <w:rsid w:val="00815BE4"/>
    <w:rsid w:val="00871C1B"/>
    <w:rsid w:val="008E47DD"/>
    <w:rsid w:val="00964432"/>
    <w:rsid w:val="009C6019"/>
    <w:rsid w:val="00A140B1"/>
    <w:rsid w:val="00A32130"/>
    <w:rsid w:val="00A35532"/>
    <w:rsid w:val="00A43532"/>
    <w:rsid w:val="00AA6C24"/>
    <w:rsid w:val="00AB3AC1"/>
    <w:rsid w:val="00AC64B2"/>
    <w:rsid w:val="00AC6B4E"/>
    <w:rsid w:val="00B06944"/>
    <w:rsid w:val="00B17637"/>
    <w:rsid w:val="00B3616A"/>
    <w:rsid w:val="00B63BC4"/>
    <w:rsid w:val="00B66A56"/>
    <w:rsid w:val="00B764C8"/>
    <w:rsid w:val="00BB5AF5"/>
    <w:rsid w:val="00BC0C8E"/>
    <w:rsid w:val="00BD536C"/>
    <w:rsid w:val="00C34CF2"/>
    <w:rsid w:val="00C675C0"/>
    <w:rsid w:val="00CC4864"/>
    <w:rsid w:val="00CD3501"/>
    <w:rsid w:val="00CF0F6A"/>
    <w:rsid w:val="00CF2208"/>
    <w:rsid w:val="00CF3027"/>
    <w:rsid w:val="00CF6785"/>
    <w:rsid w:val="00D2096C"/>
    <w:rsid w:val="00D55972"/>
    <w:rsid w:val="00D63B0E"/>
    <w:rsid w:val="00DA57E7"/>
    <w:rsid w:val="00DD2C35"/>
    <w:rsid w:val="00DD61AF"/>
    <w:rsid w:val="00DF64D6"/>
    <w:rsid w:val="00E00220"/>
    <w:rsid w:val="00E32261"/>
    <w:rsid w:val="00E66C73"/>
    <w:rsid w:val="00EC094D"/>
    <w:rsid w:val="00ED4AE8"/>
    <w:rsid w:val="00ED5712"/>
    <w:rsid w:val="00EF72B1"/>
    <w:rsid w:val="00F35A8F"/>
    <w:rsid w:val="00F46733"/>
    <w:rsid w:val="00F4742D"/>
    <w:rsid w:val="00F607FD"/>
    <w:rsid w:val="00FC3DD1"/>
    <w:rsid w:val="00FD4824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F9D9"/>
  <w15:chartTrackingRefBased/>
  <w15:docId w15:val="{41BCF80D-C94B-4B10-B0B7-BC08E92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770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701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77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120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77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120"/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750FB2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50FB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F54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540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5408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54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5408"/>
    <w:rPr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408"/>
    <w:rPr>
      <w:rFonts w:ascii="Segoe UI" w:hAnsi="Segoe UI" w:cs="Segoe UI"/>
      <w:sz w:val="18"/>
      <w:szCs w:val="18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2208"/>
    <w:rPr>
      <w:color w:val="0000FF" w:themeColor="followedHyperlink"/>
      <w:u w:val="single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BD536C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C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52020SC0523&amp;from=EN" TargetMode="External"/><Relationship Id="rId13" Type="http://schemas.openxmlformats.org/officeDocument/2006/relationships/hyperlink" Target="https://www.izs.si/en/education-and-inform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docsroom/documents/44167" TargetMode="External"/><Relationship Id="rId12" Type="http://schemas.openxmlformats.org/officeDocument/2006/relationships/hyperlink" Target="https://www.cedefop.europa.eu/en/news-and-press/news/slovenia-evaluation-apprenticeship-syst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europa.eu/growth/sectors/construction/observatory_en" TargetMode="External"/><Relationship Id="rId11" Type="http://schemas.openxmlformats.org/officeDocument/2006/relationships/hyperlink" Target="https://www.cedefop.europa.eu/en/news-and-press/news/slovenia-piloting-apprenticeship-upper-secondary-v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isrs.si/Pis.web/pregledPredpisa?id=ZAKO76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ib.org/attachments/efs/eibis_2018_slovenia_en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</dc:creator>
  <cp:keywords/>
  <dc:description/>
  <cp:lastModifiedBy>Ksenija Marc</cp:lastModifiedBy>
  <cp:revision>4</cp:revision>
  <dcterms:created xsi:type="dcterms:W3CDTF">2021-03-03T16:27:00Z</dcterms:created>
  <dcterms:modified xsi:type="dcterms:W3CDTF">2021-03-18T08:00:00Z</dcterms:modified>
</cp:coreProperties>
</file>